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BADD" w14:textId="217676FF" w:rsidR="008A6EF0" w:rsidRPr="00F2319D" w:rsidRDefault="0088213D" w:rsidP="008A6EF0">
      <w:pPr>
        <w:pStyle w:val="IntroductionBannerText"/>
      </w:pPr>
      <w:r w:rsidRPr="00F2319D">
        <w:t>Introduction to the Change Magnitude Assessment</w:t>
      </w:r>
      <w:r w:rsidR="002F6FD4" w:rsidRPr="00F2319D">
        <w:t xml:space="preserve"> Template</w:t>
      </w:r>
    </w:p>
    <w:p w14:paraId="489D04CF" w14:textId="67ECFCF5" w:rsidR="00D45057" w:rsidRPr="00F2319D" w:rsidRDefault="00B2386B" w:rsidP="00E0314A">
      <w:r w:rsidRPr="00F2319D">
        <w:t>The</w:t>
      </w:r>
      <w:r w:rsidR="00E0259C" w:rsidRPr="00F2319D">
        <w:t xml:space="preserve"> Change Magnitude Assessment is used</w:t>
      </w:r>
      <w:r w:rsidR="00C11938" w:rsidRPr="00F2319D">
        <w:t xml:space="preserve"> by the OCM Practitioner</w:t>
      </w:r>
      <w:r w:rsidR="00E0259C" w:rsidRPr="00F2319D">
        <w:t xml:space="preserve"> to gain an understanding of the organization, define the relative size and magnitude of the change, and tailor OCM efforts to the organization’s priority areas. In addition, the assessment provides a high level overview for the OCM Practitioner to refer to when discussing the direction of the OCM effort.</w:t>
      </w:r>
    </w:p>
    <w:p w14:paraId="4ACE5057" w14:textId="2777FA3D" w:rsidR="00D45057" w:rsidRPr="00F2319D" w:rsidRDefault="002F6FD4" w:rsidP="00E0314A">
      <w:r w:rsidRPr="00F2319D">
        <w:t>Instructions and descriptions are provided to help the reader understand each section’s purpose and how to complete it.</w:t>
      </w:r>
    </w:p>
    <w:p w14:paraId="1780BAE1" w14:textId="77777777" w:rsidR="008A6EF0" w:rsidRPr="00F2319D" w:rsidRDefault="008A6EF0" w:rsidP="00E0314A">
      <w:r w:rsidRPr="00F2319D"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"/>
      </w:tblPr>
      <w:tblGrid>
        <w:gridCol w:w="4674"/>
        <w:gridCol w:w="4676"/>
      </w:tblGrid>
      <w:tr w:rsidR="008A6EF0" w:rsidRPr="00F2319D" w14:paraId="1780BAE4" w14:textId="77777777" w:rsidTr="00DD20A4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1780BAE2" w14:textId="77777777" w:rsidR="008A6EF0" w:rsidRPr="00F2319D" w:rsidRDefault="008A6EF0" w:rsidP="00751660">
            <w:pPr>
              <w:pStyle w:val="CDTbodycopy"/>
              <w:jc w:val="center"/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1780BAE3" w14:textId="77777777" w:rsidR="008A6EF0" w:rsidRPr="00F2319D" w:rsidRDefault="008A6EF0" w:rsidP="00751660">
            <w:pPr>
              <w:pStyle w:val="CDTbodycopy"/>
              <w:jc w:val="center"/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Convention</w:t>
            </w:r>
          </w:p>
        </w:tc>
      </w:tr>
      <w:tr w:rsidR="008A6EF0" w:rsidRPr="00F2319D" w14:paraId="1780BAE7" w14:textId="77777777" w:rsidTr="00B374F1">
        <w:trPr>
          <w:trHeight w:val="432"/>
          <w:tblHeader/>
        </w:trPr>
        <w:tc>
          <w:tcPr>
            <w:tcW w:w="4674" w:type="dxa"/>
          </w:tcPr>
          <w:p w14:paraId="1780BAE5" w14:textId="77777777" w:rsidR="008A6EF0" w:rsidRPr="00F2319D" w:rsidRDefault="008A6EF0" w:rsidP="00E0314A">
            <w:r w:rsidRPr="00F2319D">
              <w:t>Normal text</w:t>
            </w:r>
          </w:p>
        </w:tc>
        <w:tc>
          <w:tcPr>
            <w:tcW w:w="4676" w:type="dxa"/>
          </w:tcPr>
          <w:p w14:paraId="1780BAE6" w14:textId="77777777" w:rsidR="008A6EF0" w:rsidRPr="00F2319D" w:rsidRDefault="008A6EF0" w:rsidP="00E0314A">
            <w:r w:rsidRPr="00F2319D">
              <w:t>Indicates placeholder text that can be used for any project.</w:t>
            </w:r>
          </w:p>
        </w:tc>
      </w:tr>
      <w:tr w:rsidR="008A6EF0" w:rsidRPr="00F2319D" w14:paraId="1780BAEA" w14:textId="77777777" w:rsidTr="00B374F1">
        <w:trPr>
          <w:trHeight w:val="432"/>
          <w:tblHeader/>
        </w:trPr>
        <w:tc>
          <w:tcPr>
            <w:tcW w:w="4674" w:type="dxa"/>
          </w:tcPr>
          <w:p w14:paraId="1780BAE8" w14:textId="77777777" w:rsidR="008A6EF0" w:rsidRPr="00F2319D" w:rsidRDefault="008A6EF0" w:rsidP="00E0314A">
            <w:r w:rsidRPr="00F2319D">
              <w:t>[Instructional text in brackets]</w:t>
            </w:r>
          </w:p>
        </w:tc>
        <w:tc>
          <w:tcPr>
            <w:tcW w:w="4676" w:type="dxa"/>
          </w:tcPr>
          <w:p w14:paraId="1780BAE9" w14:textId="24FDC364" w:rsidR="008A6EF0" w:rsidRPr="00F2319D" w:rsidRDefault="001A2CFF" w:rsidP="00E0314A">
            <w:r>
              <w:t>[</w:t>
            </w:r>
            <w:r w:rsidR="008A6EF0" w:rsidRPr="00F2319D">
              <w:t>Indicates text that is be replaced/edited/deleted by the user]</w:t>
            </w:r>
          </w:p>
        </w:tc>
      </w:tr>
      <w:tr w:rsidR="008A6EF0" w:rsidRPr="00F2319D" w14:paraId="1780BAED" w14:textId="77777777" w:rsidTr="00B374F1">
        <w:trPr>
          <w:trHeight w:val="432"/>
          <w:tblHeader/>
        </w:trPr>
        <w:tc>
          <w:tcPr>
            <w:tcW w:w="4674" w:type="dxa"/>
          </w:tcPr>
          <w:p w14:paraId="1780BAEB" w14:textId="77777777" w:rsidR="008A6EF0" w:rsidRPr="00F2319D" w:rsidRDefault="008A6EF0" w:rsidP="00E0314A">
            <w:pPr>
              <w:rPr>
                <w:i/>
              </w:rPr>
            </w:pPr>
            <w:r w:rsidRPr="00F2319D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1780BAEC" w14:textId="77777777" w:rsidR="008A6EF0" w:rsidRPr="00F2319D" w:rsidRDefault="008A6EF0" w:rsidP="00E0314A">
            <w:pPr>
              <w:rPr>
                <w:i/>
              </w:rPr>
            </w:pPr>
            <w:r w:rsidRPr="00F2319D">
              <w:rPr>
                <w:i/>
              </w:rPr>
              <w:t>Indicates text that might be replaced/edited/deleted by the user</w:t>
            </w:r>
          </w:p>
        </w:tc>
      </w:tr>
    </w:tbl>
    <w:p w14:paraId="1780BAEE" w14:textId="77777777" w:rsidR="008A6EF0" w:rsidRPr="00F2319D" w:rsidRDefault="008A6EF0" w:rsidP="008A6EF0"/>
    <w:p w14:paraId="1780BAEF" w14:textId="77777777" w:rsidR="008A6EF0" w:rsidRPr="00096BEF" w:rsidRDefault="008A6EF0" w:rsidP="00E0314A">
      <w:r w:rsidRPr="00F2319D">
        <w:t xml:space="preserve">As you complete the template, please remember to delete all instructional text (including this section) </w:t>
      </w:r>
      <w:r w:rsidRPr="00096BEF">
        <w:t>and update the following items, as applicable:</w:t>
      </w:r>
    </w:p>
    <w:p w14:paraId="1780BAF0" w14:textId="77777777" w:rsidR="008A6EF0" w:rsidRPr="00096BEF" w:rsidRDefault="008A6EF0">
      <w:pPr>
        <w:pStyle w:val="CDTbullets"/>
        <w:rPr>
          <w:rFonts w:asciiTheme="minorHAnsi" w:hAnsiTheme="minorHAnsi"/>
        </w:rPr>
      </w:pPr>
      <w:r w:rsidRPr="00096BEF">
        <w:rPr>
          <w:rFonts w:asciiTheme="minorHAnsi" w:hAnsiTheme="minorHAnsi"/>
        </w:rPr>
        <w:t>title page</w:t>
      </w:r>
    </w:p>
    <w:p w14:paraId="1780BAF1" w14:textId="77777777" w:rsidR="008A6EF0" w:rsidRPr="00096BEF" w:rsidRDefault="008A6EF0">
      <w:pPr>
        <w:pStyle w:val="CDTbullets"/>
        <w:rPr>
          <w:rFonts w:asciiTheme="minorHAnsi" w:hAnsiTheme="minorHAnsi"/>
        </w:rPr>
      </w:pPr>
      <w:r w:rsidRPr="00096BEF">
        <w:rPr>
          <w:rFonts w:asciiTheme="minorHAnsi" w:hAnsiTheme="minorHAnsi"/>
        </w:rPr>
        <w:t>version history</w:t>
      </w:r>
    </w:p>
    <w:p w14:paraId="1780BAF2" w14:textId="77777777" w:rsidR="008A6EF0" w:rsidRPr="00096BEF" w:rsidRDefault="008A6EF0">
      <w:pPr>
        <w:pStyle w:val="CDTbullets"/>
        <w:rPr>
          <w:rFonts w:asciiTheme="minorHAnsi" w:hAnsiTheme="minorHAnsi"/>
        </w:rPr>
      </w:pPr>
      <w:r w:rsidRPr="00096BEF">
        <w:rPr>
          <w:rFonts w:asciiTheme="minorHAnsi" w:hAnsiTheme="minorHAnsi"/>
        </w:rPr>
        <w:t>table of contents</w:t>
      </w:r>
    </w:p>
    <w:p w14:paraId="1780BAF3" w14:textId="77777777" w:rsidR="008A6EF0" w:rsidRPr="00096BEF" w:rsidRDefault="008A6EF0">
      <w:pPr>
        <w:pStyle w:val="CDTbullets"/>
        <w:rPr>
          <w:rFonts w:asciiTheme="minorHAnsi" w:hAnsiTheme="minorHAnsi"/>
        </w:rPr>
      </w:pPr>
      <w:r w:rsidRPr="00096BEF">
        <w:rPr>
          <w:rFonts w:asciiTheme="minorHAnsi" w:hAnsiTheme="minorHAnsi"/>
        </w:rPr>
        <w:t>headers</w:t>
      </w:r>
    </w:p>
    <w:p w14:paraId="1780BAF4" w14:textId="77777777" w:rsidR="008A6EF0" w:rsidRPr="00096BEF" w:rsidRDefault="008A6EF0">
      <w:pPr>
        <w:pStyle w:val="CDTbullets"/>
        <w:rPr>
          <w:rFonts w:asciiTheme="minorHAnsi" w:hAnsiTheme="minorHAnsi"/>
        </w:rPr>
      </w:pPr>
      <w:r w:rsidRPr="00096BEF">
        <w:rPr>
          <w:rFonts w:asciiTheme="minorHAnsi" w:hAnsiTheme="minorHAnsi"/>
        </w:rPr>
        <w:t>footers</w:t>
      </w:r>
    </w:p>
    <w:p w14:paraId="1780BAFA" w14:textId="0847F074" w:rsidR="001E23F7" w:rsidRPr="00F2319D" w:rsidRDefault="008A6EF0" w:rsidP="00E0314A">
      <w:pPr>
        <w:rPr>
          <w:b/>
        </w:rPr>
      </w:pPr>
      <w:r w:rsidRPr="00096BEF">
        <w:t xml:space="preserve">Update the document to a </w:t>
      </w:r>
      <w:r w:rsidRPr="00F2319D">
        <w:t>minor version (e.g., 1.1, 1.2) when minimal changes are made and a major version (e.g., 2.</w:t>
      </w:r>
      <w:r w:rsidR="00A90624">
        <w:t>0, 3.0) when significant changes are made.</w:t>
      </w:r>
    </w:p>
    <w:p w14:paraId="3291B814" w14:textId="162BCA17" w:rsidR="002F6FD4" w:rsidRPr="00F2319D" w:rsidRDefault="001E23F7" w:rsidP="00C11938">
      <w:pPr>
        <w:rPr>
          <w:b/>
        </w:rPr>
      </w:pPr>
      <w:r w:rsidRPr="00F2319D">
        <w:rPr>
          <w:b/>
        </w:rPr>
        <w:br w:type="page"/>
      </w:r>
    </w:p>
    <w:p w14:paraId="1780BAFB" w14:textId="613BC828" w:rsidR="002F6FD4" w:rsidRPr="00F2319D" w:rsidRDefault="00AD139D" w:rsidP="002F6FD4">
      <w:pPr>
        <w:pStyle w:val="IntroductionBannerText"/>
      </w:pPr>
      <w:r w:rsidRPr="00F2319D">
        <w:lastRenderedPageBreak/>
        <w:t>Change Magnitude Assessment</w:t>
      </w:r>
    </w:p>
    <w:p w14:paraId="015736B1" w14:textId="734BD04C" w:rsidR="00943C7D" w:rsidRPr="00F2319D" w:rsidRDefault="002F74ED" w:rsidP="00E0314A">
      <w:r w:rsidRPr="00F2319D">
        <w:t xml:space="preserve">The Change Magnitude Assessment </w:t>
      </w:r>
      <w:r w:rsidR="00C11938" w:rsidRPr="00F2319D">
        <w:t>guides the OCM Practitioner in</w:t>
      </w:r>
      <w:r w:rsidRPr="00F2319D">
        <w:t xml:space="preserve"> identify</w:t>
      </w:r>
      <w:r w:rsidR="00C11938" w:rsidRPr="00F2319D">
        <w:t>ing</w:t>
      </w:r>
      <w:r w:rsidRPr="00F2319D">
        <w:t xml:space="preserve"> the level of OCM effort needed, </w:t>
      </w:r>
      <w:r w:rsidR="00C11938" w:rsidRPr="00F2319D">
        <w:t xml:space="preserve">determining </w:t>
      </w:r>
      <w:r w:rsidRPr="00F2319D">
        <w:t>OCM priority areas, and</w:t>
      </w:r>
      <w:r w:rsidR="00C11938" w:rsidRPr="00F2319D">
        <w:t xml:space="preserve"> developing</w:t>
      </w:r>
      <w:r w:rsidRPr="00F2319D">
        <w:t xml:space="preserve"> activities to address OCM priority areas. </w:t>
      </w:r>
      <w:r w:rsidR="00943C7D" w:rsidRPr="00F2319D">
        <w:t>This assessment will help the OCM Practition</w:t>
      </w:r>
      <w:r w:rsidR="00F2319D">
        <w:t>er understand, at a high level:</w:t>
      </w:r>
    </w:p>
    <w:p w14:paraId="2351DF83" w14:textId="515DFE79" w:rsidR="00943C7D" w:rsidRPr="00F2319D" w:rsidRDefault="00943C7D" w:rsidP="00E0314A">
      <w:pPr>
        <w:pStyle w:val="ListParagraph"/>
        <w:numPr>
          <w:ilvl w:val="0"/>
          <w:numId w:val="17"/>
        </w:numPr>
      </w:pPr>
      <w:r w:rsidRPr="00F2319D">
        <w:t>The level of OCM effort that may be needed</w:t>
      </w:r>
    </w:p>
    <w:p w14:paraId="0FD87C42" w14:textId="0A6D133C" w:rsidR="00943C7D" w:rsidRPr="00F2319D" w:rsidRDefault="00943C7D" w:rsidP="00E0314A">
      <w:pPr>
        <w:pStyle w:val="ListParagraph"/>
        <w:numPr>
          <w:ilvl w:val="0"/>
          <w:numId w:val="17"/>
        </w:numPr>
      </w:pPr>
      <w:r w:rsidRPr="00F2319D">
        <w:t>The environmental areas OCM efforts should focus on</w:t>
      </w:r>
    </w:p>
    <w:p w14:paraId="1FF8EA2E" w14:textId="7AD08512" w:rsidR="003C6050" w:rsidRPr="00F2319D" w:rsidRDefault="00943C7D" w:rsidP="00E0314A">
      <w:pPr>
        <w:pStyle w:val="ListParagraph"/>
        <w:numPr>
          <w:ilvl w:val="0"/>
          <w:numId w:val="17"/>
        </w:numPr>
      </w:pPr>
      <w:r w:rsidRPr="00F2319D">
        <w:t>The activities that will be best s</w:t>
      </w:r>
      <w:r w:rsidR="00FE2D51">
        <w:t>uited to support the OCM effort</w:t>
      </w:r>
    </w:p>
    <w:p w14:paraId="742945DE" w14:textId="44AF94FA" w:rsidR="009674D2" w:rsidRPr="00F2319D" w:rsidRDefault="003C6050" w:rsidP="00E0314A">
      <w:r w:rsidRPr="00F2319D">
        <w:t>[</w:t>
      </w:r>
      <w:r w:rsidR="00C11938" w:rsidRPr="00F2319D">
        <w:t>The OCM Practitioner should ensure that</w:t>
      </w:r>
      <w:r w:rsidR="00D86BB6" w:rsidRPr="00F2319D">
        <w:t xml:space="preserve"> the</w:t>
      </w:r>
      <w:r w:rsidR="00AD139D" w:rsidRPr="00F2319D">
        <w:t xml:space="preserve"> Environmental Readiness Assessment has been completed and the r</w:t>
      </w:r>
      <w:r w:rsidR="00D86BB6" w:rsidRPr="00F2319D">
        <w:t xml:space="preserve">elative </w:t>
      </w:r>
      <w:r w:rsidR="00AD139D" w:rsidRPr="00F2319D">
        <w:t>s</w:t>
      </w:r>
      <w:r w:rsidR="00D86BB6" w:rsidRPr="00F2319D">
        <w:t>ize of</w:t>
      </w:r>
      <w:r w:rsidR="00AD139D" w:rsidRPr="00F2319D">
        <w:t xml:space="preserve"> the change has been determined</w:t>
      </w:r>
      <w:r w:rsidR="00C11938" w:rsidRPr="00F2319D">
        <w:t xml:space="preserve"> before completing</w:t>
      </w:r>
      <w:r w:rsidR="00AD139D" w:rsidRPr="00F2319D">
        <w:t xml:space="preserve"> </w:t>
      </w:r>
      <w:r w:rsidR="002F74ED" w:rsidRPr="00F2319D">
        <w:t>sections 1</w:t>
      </w:r>
      <w:r w:rsidR="00C11938" w:rsidRPr="00F2319D">
        <w:t>.1</w:t>
      </w:r>
      <w:r w:rsidR="002F74ED" w:rsidRPr="00F2319D">
        <w:t xml:space="preserve"> and </w:t>
      </w:r>
      <w:r w:rsidR="00C11938" w:rsidRPr="00F2319D">
        <w:t>1.</w:t>
      </w:r>
      <w:r w:rsidR="002F74ED" w:rsidRPr="00F2319D">
        <w:t xml:space="preserve">2 of </w:t>
      </w:r>
      <w:r w:rsidR="00AD139D" w:rsidRPr="00F2319D">
        <w:t>the Change Magnitude Assessment</w:t>
      </w:r>
      <w:r w:rsidR="00C11938" w:rsidRPr="00F2319D">
        <w:t>. In Section 1</w:t>
      </w:r>
      <w:r w:rsidR="00EE1CCF" w:rsidRPr="00F2319D">
        <w:t>.1, the OCM Practitioner p</w:t>
      </w:r>
      <w:r w:rsidR="009674D2" w:rsidRPr="00F2319D">
        <w:t>lot</w:t>
      </w:r>
      <w:r w:rsidR="00EE1CCF" w:rsidRPr="00F2319D">
        <w:t>s</w:t>
      </w:r>
      <w:r w:rsidR="009674D2" w:rsidRPr="00F2319D">
        <w:t xml:space="preserve"> the relative size of the change and level of readiness on the Change Magnitude Matrix</w:t>
      </w:r>
      <w:r w:rsidR="00B2386B" w:rsidRPr="00F2319D">
        <w:t xml:space="preserve"> to determine level of OCM </w:t>
      </w:r>
      <w:r w:rsidR="00C577DA" w:rsidRPr="00F2319D">
        <w:t>e</w:t>
      </w:r>
      <w:r w:rsidR="00B2386B" w:rsidRPr="00F2319D">
        <w:t xml:space="preserve">ffort </w:t>
      </w:r>
      <w:r w:rsidR="00C577DA" w:rsidRPr="00F2319D">
        <w:t>n</w:t>
      </w:r>
      <w:r w:rsidR="00B2386B" w:rsidRPr="00F2319D">
        <w:t>eeded</w:t>
      </w:r>
      <w:r w:rsidR="00EE1CCF" w:rsidRPr="00F2319D">
        <w:t>. In Section 1.2, the OCM Practitioner uses the Priority Table to identify and record</w:t>
      </w:r>
      <w:r w:rsidR="009674D2" w:rsidRPr="00F2319D">
        <w:t xml:space="preserve"> the OCM priority areas</w:t>
      </w:r>
      <w:r w:rsidR="00EE1CCF" w:rsidRPr="00F2319D">
        <w:t>.</w:t>
      </w:r>
      <w:r w:rsidR="000D1A6E" w:rsidRPr="00F2319D">
        <w:t xml:space="preserve"> Once sections 1.1 and 1.2 are complete, the OCM Practitioner will store this assessment until the beginning of the Initiating Process Phase.</w:t>
      </w:r>
    </w:p>
    <w:p w14:paraId="010551A3" w14:textId="02455FEA" w:rsidR="00861C12" w:rsidRPr="00F2319D" w:rsidRDefault="00861C12" w:rsidP="00E0314A">
      <w:r w:rsidRPr="00F2319D">
        <w:t xml:space="preserve">At the </w:t>
      </w:r>
      <w:r w:rsidR="000D1A6E" w:rsidRPr="00F2319D">
        <w:t>start</w:t>
      </w:r>
      <w:r w:rsidRPr="00F2319D">
        <w:t xml:space="preserve"> of the Initiating Process Phase, </w:t>
      </w:r>
      <w:r w:rsidR="000D1A6E" w:rsidRPr="00F2319D">
        <w:t>the OCM Practitioner will complete S</w:t>
      </w:r>
      <w:r w:rsidRPr="00F2319D">
        <w:t xml:space="preserve">ection </w:t>
      </w:r>
      <w:r w:rsidR="000D1A6E" w:rsidRPr="00F2319D">
        <w:t>1.3</w:t>
      </w:r>
      <w:r w:rsidRPr="00F2319D">
        <w:t xml:space="preserve"> of the Change Magnitude Assessment by</w:t>
      </w:r>
      <w:r w:rsidR="00531E96" w:rsidRPr="00F2319D">
        <w:t xml:space="preserve"> </w:t>
      </w:r>
      <w:r w:rsidR="000D1A6E" w:rsidRPr="00F2319D">
        <w:t>i</w:t>
      </w:r>
      <w:r w:rsidRPr="00F2319D">
        <w:t>dentifying OCM activities to address OCM high priority areas</w:t>
      </w:r>
      <w:r w:rsidR="00531E96" w:rsidRPr="00F2319D">
        <w:t>. These activities should be selected</w:t>
      </w:r>
      <w:r w:rsidR="000D1A6E" w:rsidRPr="00F2319D">
        <w:t xml:space="preserve"> based on guidance provided in the CA-OCM, Concept Process Phase chapter, OCM Lifecycle Management Section.</w:t>
      </w:r>
      <w:r w:rsidR="00B2386B" w:rsidRPr="00F2319D">
        <w:t>]</w:t>
      </w:r>
    </w:p>
    <w:p w14:paraId="164C64A4" w14:textId="03157FC3" w:rsidR="00B2386B" w:rsidRPr="00F2319D" w:rsidRDefault="00B2386B" w:rsidP="00FB4C4D">
      <w:pPr>
        <w:pStyle w:val="Heading1"/>
      </w:pPr>
      <w:r w:rsidRPr="00F2319D">
        <w:t>Level of OCM Effort</w:t>
      </w:r>
    </w:p>
    <w:p w14:paraId="2EFD20D1" w14:textId="33EC9B13" w:rsidR="00B747DB" w:rsidRPr="00F2319D" w:rsidRDefault="00B747DB" w:rsidP="00E0314A">
      <w:r w:rsidRPr="00F2319D">
        <w:t>The relative size of the change is measured as follows:</w:t>
      </w:r>
    </w:p>
    <w:tbl>
      <w:tblPr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3C6050" w:rsidRPr="00F2319D" w14:paraId="3ACA6380" w14:textId="77777777" w:rsidTr="00FE2D51">
        <w:tc>
          <w:tcPr>
            <w:tcW w:w="4677" w:type="dxa"/>
            <w:shd w:val="clear" w:color="auto" w:fill="5A2480"/>
            <w:vAlign w:val="center"/>
          </w:tcPr>
          <w:p w14:paraId="63F7C5DE" w14:textId="50802324" w:rsidR="003C6050" w:rsidRPr="003B154D" w:rsidRDefault="003C6050" w:rsidP="00FE2D51">
            <w:pPr>
              <w:rPr>
                <w:b/>
                <w:color w:val="FFFFFF" w:themeColor="background1"/>
              </w:rPr>
            </w:pPr>
            <w:r w:rsidRPr="003B154D">
              <w:rPr>
                <w:b/>
                <w:color w:val="FFFFFF" w:themeColor="background1"/>
              </w:rPr>
              <w:t>Change Impact</w:t>
            </w:r>
          </w:p>
        </w:tc>
        <w:tc>
          <w:tcPr>
            <w:tcW w:w="4678" w:type="dxa"/>
            <w:shd w:val="clear" w:color="auto" w:fill="5A2480"/>
            <w:vAlign w:val="center"/>
          </w:tcPr>
          <w:p w14:paraId="336EC00C" w14:textId="5ED0F637" w:rsidR="003C6050" w:rsidRPr="003B154D" w:rsidRDefault="003C6050" w:rsidP="00FE2D51">
            <w:pPr>
              <w:rPr>
                <w:b/>
                <w:color w:val="FFFFFF" w:themeColor="background1"/>
              </w:rPr>
            </w:pPr>
            <w:r w:rsidRPr="003B154D">
              <w:rPr>
                <w:b/>
                <w:color w:val="FFFFFF" w:themeColor="background1"/>
              </w:rPr>
              <w:t>Relative Size of Change</w:t>
            </w:r>
          </w:p>
        </w:tc>
      </w:tr>
      <w:tr w:rsidR="003C6050" w:rsidRPr="00F2319D" w14:paraId="696E5BD1" w14:textId="77777777" w:rsidTr="00FE2D51">
        <w:tc>
          <w:tcPr>
            <w:tcW w:w="4677" w:type="dxa"/>
            <w:shd w:val="clear" w:color="auto" w:fill="auto"/>
          </w:tcPr>
          <w:p w14:paraId="015808DC" w14:textId="11828987" w:rsidR="003C6050" w:rsidRPr="00F2319D" w:rsidRDefault="003C6050" w:rsidP="00E0314A">
            <w:r w:rsidRPr="00F2319D">
              <w:t>Multiple organizations or organizational units affected</w:t>
            </w:r>
          </w:p>
        </w:tc>
        <w:tc>
          <w:tcPr>
            <w:tcW w:w="4678" w:type="dxa"/>
            <w:shd w:val="clear" w:color="auto" w:fill="auto"/>
          </w:tcPr>
          <w:p w14:paraId="2ACBD9C6" w14:textId="6FC1710C" w:rsidR="003C6050" w:rsidRPr="00F2319D" w:rsidRDefault="003C6050" w:rsidP="00E0314A">
            <w:r w:rsidRPr="00F2319D">
              <w:t>Large</w:t>
            </w:r>
          </w:p>
        </w:tc>
      </w:tr>
      <w:tr w:rsidR="003C6050" w:rsidRPr="00F2319D" w14:paraId="29DD73B3" w14:textId="77777777" w:rsidTr="00FE2D51">
        <w:tc>
          <w:tcPr>
            <w:tcW w:w="4677" w:type="dxa"/>
            <w:shd w:val="clear" w:color="auto" w:fill="auto"/>
          </w:tcPr>
          <w:p w14:paraId="49C5476D" w14:textId="6B1AC7A7" w:rsidR="003C6050" w:rsidRPr="00F2319D" w:rsidRDefault="003C6050" w:rsidP="00E0314A">
            <w:r w:rsidRPr="00F2319D">
              <w:t>Single organizational unit affected</w:t>
            </w:r>
          </w:p>
        </w:tc>
        <w:tc>
          <w:tcPr>
            <w:tcW w:w="4678" w:type="dxa"/>
            <w:shd w:val="clear" w:color="auto" w:fill="auto"/>
          </w:tcPr>
          <w:p w14:paraId="56CA4C49" w14:textId="651FFAE5" w:rsidR="003C6050" w:rsidRPr="00F2319D" w:rsidRDefault="003C6050" w:rsidP="00E0314A">
            <w:r w:rsidRPr="00F2319D">
              <w:t>Small</w:t>
            </w:r>
          </w:p>
        </w:tc>
      </w:tr>
    </w:tbl>
    <w:p w14:paraId="52AF9A35" w14:textId="77777777" w:rsidR="00B2386B" w:rsidRPr="00F2319D" w:rsidRDefault="00B2386B" w:rsidP="005835E3"/>
    <w:p w14:paraId="276886AF" w14:textId="7DD39914" w:rsidR="005835E3" w:rsidRPr="00F2319D" w:rsidRDefault="009674D2" w:rsidP="00E0314A">
      <w:r w:rsidRPr="00F2319D">
        <w:t>U</w:t>
      </w:r>
      <w:r w:rsidR="00F75CC9" w:rsidRPr="00F2319D">
        <w:t>sing the overall score from the Environmental Readiness Assessment</w:t>
      </w:r>
      <w:r w:rsidR="00B2386B" w:rsidRPr="00F2319D">
        <w:t>,</w:t>
      </w:r>
      <w:r w:rsidR="00F75CC9" w:rsidRPr="00F2319D">
        <w:t xml:space="preserve"> t</w:t>
      </w:r>
      <w:r w:rsidR="005835E3" w:rsidRPr="00F2319D">
        <w:t>he environmental readiness level is measured as follows:</w:t>
      </w:r>
    </w:p>
    <w:tbl>
      <w:tblPr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4011E" w:rsidRPr="00F2319D" w14:paraId="0128A9EA" w14:textId="77777777" w:rsidTr="00FE2D51">
        <w:trPr>
          <w:trHeight w:val="440"/>
        </w:trPr>
        <w:tc>
          <w:tcPr>
            <w:tcW w:w="4677" w:type="dxa"/>
            <w:shd w:val="clear" w:color="auto" w:fill="5A2480"/>
            <w:vAlign w:val="center"/>
          </w:tcPr>
          <w:p w14:paraId="4653B4EE" w14:textId="02D77448" w:rsidR="0064011E" w:rsidRPr="00F2319D" w:rsidRDefault="0064011E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Score</w:t>
            </w:r>
          </w:p>
        </w:tc>
        <w:tc>
          <w:tcPr>
            <w:tcW w:w="4678" w:type="dxa"/>
            <w:shd w:val="clear" w:color="auto" w:fill="5A2480"/>
            <w:vAlign w:val="center"/>
          </w:tcPr>
          <w:p w14:paraId="1450F737" w14:textId="63F2B304" w:rsidR="00FE2D51" w:rsidRPr="00F2319D" w:rsidRDefault="0064011E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Level of Readiness</w:t>
            </w:r>
          </w:p>
        </w:tc>
      </w:tr>
      <w:tr w:rsidR="0064011E" w:rsidRPr="00F2319D" w14:paraId="5300667E" w14:textId="77777777" w:rsidTr="00FE2D51">
        <w:trPr>
          <w:trHeight w:val="440"/>
        </w:trPr>
        <w:tc>
          <w:tcPr>
            <w:tcW w:w="4677" w:type="dxa"/>
            <w:shd w:val="clear" w:color="auto" w:fill="auto"/>
          </w:tcPr>
          <w:p w14:paraId="100B1A93" w14:textId="531D7852" w:rsidR="0064011E" w:rsidRPr="00F2319D" w:rsidRDefault="0064011E" w:rsidP="00E0314A">
            <w:r w:rsidRPr="00F2319D">
              <w:t>85 – 140</w:t>
            </w:r>
          </w:p>
        </w:tc>
        <w:tc>
          <w:tcPr>
            <w:tcW w:w="4678" w:type="dxa"/>
            <w:shd w:val="clear" w:color="auto" w:fill="auto"/>
          </w:tcPr>
          <w:p w14:paraId="15074575" w14:textId="22D12E17" w:rsidR="0064011E" w:rsidRPr="00F2319D" w:rsidRDefault="0064011E" w:rsidP="00E0314A">
            <w:r w:rsidRPr="00F2319D">
              <w:t>High</w:t>
            </w:r>
          </w:p>
        </w:tc>
      </w:tr>
      <w:tr w:rsidR="0064011E" w:rsidRPr="00F2319D" w14:paraId="0B35F17C" w14:textId="77777777" w:rsidTr="00FE2D51">
        <w:trPr>
          <w:trHeight w:val="440"/>
        </w:trPr>
        <w:tc>
          <w:tcPr>
            <w:tcW w:w="4677" w:type="dxa"/>
            <w:shd w:val="clear" w:color="auto" w:fill="auto"/>
          </w:tcPr>
          <w:p w14:paraId="5168CED2" w14:textId="1AF20D57" w:rsidR="0064011E" w:rsidRPr="00F2319D" w:rsidRDefault="0064011E" w:rsidP="00E0314A">
            <w:r w:rsidRPr="00F2319D">
              <w:t>28 – 84</w:t>
            </w:r>
          </w:p>
        </w:tc>
        <w:tc>
          <w:tcPr>
            <w:tcW w:w="4678" w:type="dxa"/>
            <w:shd w:val="clear" w:color="auto" w:fill="auto"/>
          </w:tcPr>
          <w:p w14:paraId="3CD324C2" w14:textId="7D2E17B4" w:rsidR="0064011E" w:rsidRPr="00F2319D" w:rsidRDefault="0064011E" w:rsidP="00E0314A">
            <w:r w:rsidRPr="00F2319D">
              <w:t>Low</w:t>
            </w:r>
          </w:p>
        </w:tc>
      </w:tr>
    </w:tbl>
    <w:p w14:paraId="0F02123B" w14:textId="2FDBD40E" w:rsidR="00B747DB" w:rsidRDefault="00B747DB" w:rsidP="005835E3"/>
    <w:p w14:paraId="69B61206" w14:textId="77777777" w:rsidR="00FE2D51" w:rsidRPr="00F2319D" w:rsidRDefault="00FE2D51" w:rsidP="005835E3"/>
    <w:p w14:paraId="1780BAFD" w14:textId="08DE6B11" w:rsidR="002F6FD4" w:rsidRPr="00F2319D" w:rsidRDefault="00B57BE7" w:rsidP="00E0314A">
      <w:r w:rsidRPr="00F2319D">
        <w:t xml:space="preserve">[In the Change Magnitude Matrix below, </w:t>
      </w:r>
      <w:r w:rsidR="00B2386B" w:rsidRPr="00F2319D">
        <w:t>identify</w:t>
      </w:r>
      <w:r w:rsidRPr="00F2319D">
        <w:t xml:space="preserve"> the level of OCM effort needed based on the relative size of the change and environmental readiness level</w:t>
      </w:r>
      <w:r w:rsidR="00FE2D51">
        <w:t>.</w:t>
      </w:r>
      <w:r w:rsidRPr="00F2319D">
        <w:t>]</w:t>
      </w:r>
    </w:p>
    <w:p w14:paraId="4FB61B0D" w14:textId="22B2EF6E" w:rsidR="00B2386B" w:rsidRPr="00F2319D" w:rsidRDefault="00B2386B" w:rsidP="002F6FD4">
      <w:r w:rsidRPr="00F2319D">
        <w:rPr>
          <w:noProof/>
        </w:rPr>
        <w:drawing>
          <wp:inline distT="0" distB="0" distL="0" distR="0" wp14:anchorId="45982102" wp14:editId="08DC1A76">
            <wp:extent cx="5716153" cy="3933825"/>
            <wp:effectExtent l="0" t="0" r="0" b="0"/>
            <wp:docPr id="7" name="Picture 7" title="Change Magnitude Mat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M - 2x2 arrow grid - Concept v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925" cy="393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46C9" w14:textId="77777777" w:rsidR="00537DF8" w:rsidRPr="00F2319D" w:rsidRDefault="00537DF8">
      <w:pPr>
        <w:rPr>
          <w:rFonts w:ascii="Source Sans Pro" w:eastAsiaTheme="majorEastAsia" w:hAnsi="Source Sans Pro" w:cstheme="majorBidi"/>
          <w:b/>
          <w:sz w:val="28"/>
          <w:szCs w:val="26"/>
        </w:rPr>
      </w:pPr>
      <w:r w:rsidRPr="00F2319D">
        <w:br w:type="page"/>
      </w:r>
    </w:p>
    <w:p w14:paraId="1780BAFE" w14:textId="533D7654" w:rsidR="002F6FD4" w:rsidRPr="00F2319D" w:rsidRDefault="00B2386B" w:rsidP="00FB4C4D">
      <w:pPr>
        <w:pStyle w:val="Heading1"/>
      </w:pPr>
      <w:r w:rsidRPr="00F2319D">
        <w:t>Priority Areas</w:t>
      </w:r>
    </w:p>
    <w:p w14:paraId="1EA600C4" w14:textId="5C76C999" w:rsidR="009674D2" w:rsidRPr="00F2319D" w:rsidRDefault="00B57BE7" w:rsidP="00E0314A">
      <w:r w:rsidRPr="00F2319D">
        <w:t>[In the Priority Table below, list all OCM Environmental Areas, the scores from the Environmental Readiness Assessment, and the priority status levels. Priority status is measured as follows</w:t>
      </w:r>
      <w:r w:rsidR="00943C7D" w:rsidRPr="00F2319D">
        <w:t>, based on the minimum and maximum scores possible in each environmental readiness area</w:t>
      </w:r>
      <w:r w:rsidRPr="00F2319D">
        <w:t>:</w:t>
      </w:r>
      <w:r w:rsidR="00B2386B" w:rsidRPr="00F2319D">
        <w:t>]</w:t>
      </w:r>
    </w:p>
    <w:tbl>
      <w:tblPr>
        <w:tblStyle w:val="TableGrid1"/>
        <w:tblW w:w="93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Priority Table"/>
      </w:tblPr>
      <w:tblGrid>
        <w:gridCol w:w="4680"/>
        <w:gridCol w:w="2340"/>
        <w:gridCol w:w="2340"/>
      </w:tblGrid>
      <w:tr w:rsidR="008E203F" w:rsidRPr="00F2319D" w14:paraId="1FED3BC7" w14:textId="77777777" w:rsidTr="00FE2D51">
        <w:trPr>
          <w:trHeight w:val="432"/>
          <w:tblHeader/>
        </w:trPr>
        <w:tc>
          <w:tcPr>
            <w:tcW w:w="4680" w:type="dxa"/>
            <w:shd w:val="clear" w:color="auto" w:fill="5A2480"/>
            <w:vAlign w:val="center"/>
          </w:tcPr>
          <w:p w14:paraId="01B37168" w14:textId="77777777" w:rsidR="008E203F" w:rsidRPr="00F2319D" w:rsidRDefault="008E203F" w:rsidP="00E0314A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Readiness Area Total Score</w:t>
            </w:r>
          </w:p>
        </w:tc>
        <w:tc>
          <w:tcPr>
            <w:tcW w:w="2340" w:type="dxa"/>
            <w:shd w:val="clear" w:color="auto" w:fill="5A2480"/>
            <w:vAlign w:val="center"/>
          </w:tcPr>
          <w:p w14:paraId="5C1254D5" w14:textId="77777777" w:rsidR="008E203F" w:rsidRPr="00F2319D" w:rsidRDefault="008E203F" w:rsidP="00E0314A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High Priority</w:t>
            </w:r>
          </w:p>
        </w:tc>
        <w:tc>
          <w:tcPr>
            <w:tcW w:w="2340" w:type="dxa"/>
            <w:shd w:val="clear" w:color="auto" w:fill="5A2480"/>
            <w:vAlign w:val="center"/>
          </w:tcPr>
          <w:p w14:paraId="464D561C" w14:textId="77777777" w:rsidR="008E203F" w:rsidRPr="00F2319D" w:rsidRDefault="008E203F" w:rsidP="00E0314A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Low Priority</w:t>
            </w:r>
          </w:p>
        </w:tc>
      </w:tr>
      <w:tr w:rsidR="00FE2D51" w:rsidRPr="00F2319D" w14:paraId="0BEEF4D8" w14:textId="77777777" w:rsidTr="00FE2D51">
        <w:trPr>
          <w:trHeight w:val="432"/>
        </w:trPr>
        <w:tc>
          <w:tcPr>
            <w:tcW w:w="4680" w:type="dxa"/>
          </w:tcPr>
          <w:p w14:paraId="67917246" w14:textId="18BDA4B2" w:rsidR="00FE2D51" w:rsidRPr="00FE2D51" w:rsidRDefault="00FE2D51" w:rsidP="00E0314A">
            <w:r w:rsidRPr="00FE2D51">
              <w:t>Organizational Readiness Total Score</w:t>
            </w:r>
          </w:p>
        </w:tc>
        <w:tc>
          <w:tcPr>
            <w:tcW w:w="2340" w:type="dxa"/>
          </w:tcPr>
          <w:p w14:paraId="51D9D499" w14:textId="6933BE42" w:rsidR="00FE2D51" w:rsidRPr="00FE2D51" w:rsidRDefault="00FE2D51" w:rsidP="00E0314A">
            <w:pPr>
              <w:rPr>
                <w:rFonts w:eastAsia="Times New Roman"/>
                <w:spacing w:val="4"/>
                <w:kern w:val="28"/>
              </w:rPr>
            </w:pPr>
            <w:r>
              <w:rPr>
                <w:rFonts w:eastAsia="Times New Roman"/>
                <w:spacing w:val="4"/>
                <w:kern w:val="28"/>
              </w:rPr>
              <w:t>11-22</w:t>
            </w:r>
          </w:p>
        </w:tc>
        <w:tc>
          <w:tcPr>
            <w:tcW w:w="2340" w:type="dxa"/>
          </w:tcPr>
          <w:p w14:paraId="2CBDE460" w14:textId="0116E83C" w:rsidR="00FE2D51" w:rsidRPr="00FE2D51" w:rsidRDefault="00FE2D51" w:rsidP="00E0314A">
            <w:pPr>
              <w:rPr>
                <w:rFonts w:eastAsia="Times New Roman"/>
                <w:spacing w:val="4"/>
                <w:kern w:val="28"/>
              </w:rPr>
            </w:pPr>
            <w:r>
              <w:rPr>
                <w:rFonts w:eastAsia="Times New Roman"/>
                <w:spacing w:val="4"/>
                <w:kern w:val="28"/>
              </w:rPr>
              <w:t>23-55</w:t>
            </w:r>
          </w:p>
        </w:tc>
      </w:tr>
      <w:tr w:rsidR="008E203F" w:rsidRPr="00F2319D" w14:paraId="04378DA2" w14:textId="77777777" w:rsidTr="00FE2D51">
        <w:trPr>
          <w:trHeight w:val="432"/>
        </w:trPr>
        <w:tc>
          <w:tcPr>
            <w:tcW w:w="4680" w:type="dxa"/>
          </w:tcPr>
          <w:p w14:paraId="71CE6F72" w14:textId="77777777" w:rsidR="008E203F" w:rsidRPr="00FE2D51" w:rsidRDefault="008E203F" w:rsidP="00E0314A">
            <w:r w:rsidRPr="00FE2D51">
              <w:t>Leadership Readiness Total Score</w:t>
            </w:r>
          </w:p>
        </w:tc>
        <w:tc>
          <w:tcPr>
            <w:tcW w:w="2340" w:type="dxa"/>
          </w:tcPr>
          <w:p w14:paraId="17966566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5 – 15</w:t>
            </w:r>
          </w:p>
        </w:tc>
        <w:tc>
          <w:tcPr>
            <w:tcW w:w="2340" w:type="dxa"/>
          </w:tcPr>
          <w:p w14:paraId="7FBCACA1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16 – 25</w:t>
            </w:r>
          </w:p>
        </w:tc>
      </w:tr>
      <w:tr w:rsidR="008E203F" w:rsidRPr="00F2319D" w14:paraId="4AB5F984" w14:textId="77777777" w:rsidTr="00FE2D51">
        <w:trPr>
          <w:trHeight w:val="432"/>
        </w:trPr>
        <w:tc>
          <w:tcPr>
            <w:tcW w:w="4680" w:type="dxa"/>
          </w:tcPr>
          <w:p w14:paraId="62413E1D" w14:textId="77777777" w:rsidR="008E203F" w:rsidRPr="00FE2D51" w:rsidRDefault="008E203F" w:rsidP="00E0314A">
            <w:r w:rsidRPr="00FE2D51">
              <w:t>Employee Readiness Total Score</w:t>
            </w:r>
          </w:p>
        </w:tc>
        <w:tc>
          <w:tcPr>
            <w:tcW w:w="2340" w:type="dxa"/>
          </w:tcPr>
          <w:p w14:paraId="7BF8DC90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6 – 18</w:t>
            </w:r>
          </w:p>
        </w:tc>
        <w:tc>
          <w:tcPr>
            <w:tcW w:w="2340" w:type="dxa"/>
          </w:tcPr>
          <w:p w14:paraId="15326E16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19 – 30</w:t>
            </w:r>
          </w:p>
        </w:tc>
      </w:tr>
      <w:tr w:rsidR="008E203F" w:rsidRPr="00F2319D" w14:paraId="65926B97" w14:textId="77777777" w:rsidTr="00FE2D51">
        <w:trPr>
          <w:trHeight w:val="432"/>
        </w:trPr>
        <w:tc>
          <w:tcPr>
            <w:tcW w:w="4680" w:type="dxa"/>
          </w:tcPr>
          <w:p w14:paraId="42320748" w14:textId="77777777" w:rsidR="008E203F" w:rsidRPr="00FE2D51" w:rsidRDefault="008E203F" w:rsidP="00E0314A">
            <w:r w:rsidRPr="00FE2D51">
              <w:t>Supporting Infrastructure Readiness Total Score</w:t>
            </w:r>
          </w:p>
        </w:tc>
        <w:tc>
          <w:tcPr>
            <w:tcW w:w="2340" w:type="dxa"/>
          </w:tcPr>
          <w:p w14:paraId="144E3631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6 – 18</w:t>
            </w:r>
          </w:p>
        </w:tc>
        <w:tc>
          <w:tcPr>
            <w:tcW w:w="2340" w:type="dxa"/>
          </w:tcPr>
          <w:p w14:paraId="1781B1E5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19 – 30</w:t>
            </w:r>
          </w:p>
        </w:tc>
      </w:tr>
      <w:tr w:rsidR="008E203F" w:rsidRPr="00F2319D" w14:paraId="73E7DE1F" w14:textId="77777777" w:rsidTr="00FE2D51">
        <w:trPr>
          <w:trHeight w:val="432"/>
        </w:trPr>
        <w:tc>
          <w:tcPr>
            <w:tcW w:w="4680" w:type="dxa"/>
          </w:tcPr>
          <w:p w14:paraId="3D36720C" w14:textId="77777777" w:rsidR="008E203F" w:rsidRPr="00FE2D51" w:rsidRDefault="008E203F" w:rsidP="00E0314A">
            <w:r w:rsidRPr="00FE2D51">
              <w:t>Overall Readiness Total Score</w:t>
            </w:r>
          </w:p>
        </w:tc>
        <w:tc>
          <w:tcPr>
            <w:tcW w:w="2340" w:type="dxa"/>
          </w:tcPr>
          <w:p w14:paraId="6CC2094D" w14:textId="77777777" w:rsidR="008E203F" w:rsidRPr="00FE2D51" w:rsidRDefault="008E203F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>28 – 84</w:t>
            </w:r>
          </w:p>
        </w:tc>
        <w:tc>
          <w:tcPr>
            <w:tcW w:w="2340" w:type="dxa"/>
          </w:tcPr>
          <w:p w14:paraId="6AEBD218" w14:textId="2FE2D8A6" w:rsidR="008E203F" w:rsidRPr="00FE2D51" w:rsidRDefault="00156C8B" w:rsidP="00E0314A">
            <w:pPr>
              <w:rPr>
                <w:rFonts w:eastAsia="Times New Roman"/>
                <w:spacing w:val="4"/>
                <w:kern w:val="28"/>
              </w:rPr>
            </w:pPr>
            <w:r w:rsidRPr="00FE2D51">
              <w:rPr>
                <w:rFonts w:eastAsia="Times New Roman"/>
                <w:spacing w:val="4"/>
                <w:kern w:val="28"/>
              </w:rPr>
              <w:t xml:space="preserve">85 </w:t>
            </w:r>
            <w:r w:rsidR="008E203F" w:rsidRPr="00FE2D51">
              <w:rPr>
                <w:rFonts w:eastAsia="Times New Roman"/>
                <w:spacing w:val="4"/>
                <w:kern w:val="28"/>
              </w:rPr>
              <w:t>– 120</w:t>
            </w:r>
          </w:p>
        </w:tc>
      </w:tr>
    </w:tbl>
    <w:p w14:paraId="3277B848" w14:textId="7A0EEC76" w:rsidR="00FE2D51" w:rsidRDefault="00FE2D51" w:rsidP="002F6FD4"/>
    <w:tbl>
      <w:tblPr>
        <w:tblStyle w:val="TableGrid1"/>
        <w:tblpPr w:leftFromText="180" w:rightFromText="180" w:vertAnchor="page" w:horzAnchor="margin" w:tblpY="6339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Priority Area"/>
      </w:tblPr>
      <w:tblGrid>
        <w:gridCol w:w="4680"/>
        <w:gridCol w:w="2340"/>
        <w:gridCol w:w="2340"/>
      </w:tblGrid>
      <w:tr w:rsidR="00FE2D51" w:rsidRPr="00F2319D" w14:paraId="18FB68F9" w14:textId="77777777" w:rsidTr="00FE2D51">
        <w:trPr>
          <w:trHeight w:val="432"/>
          <w:tblHeader/>
        </w:trPr>
        <w:tc>
          <w:tcPr>
            <w:tcW w:w="4680" w:type="dxa"/>
            <w:shd w:val="clear" w:color="auto" w:fill="5A2480"/>
            <w:vAlign w:val="center"/>
          </w:tcPr>
          <w:p w14:paraId="485ECE27" w14:textId="77777777" w:rsidR="00FE2D51" w:rsidRPr="00F2319D" w:rsidRDefault="00FE2D51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Priority Area</w:t>
            </w:r>
          </w:p>
        </w:tc>
        <w:tc>
          <w:tcPr>
            <w:tcW w:w="2340" w:type="dxa"/>
            <w:shd w:val="clear" w:color="auto" w:fill="5A2480"/>
            <w:vAlign w:val="center"/>
          </w:tcPr>
          <w:p w14:paraId="78178395" w14:textId="77777777" w:rsidR="00FE2D51" w:rsidRPr="00F2319D" w:rsidRDefault="00FE2D51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Total Score</w:t>
            </w:r>
          </w:p>
        </w:tc>
        <w:tc>
          <w:tcPr>
            <w:tcW w:w="2340" w:type="dxa"/>
            <w:shd w:val="clear" w:color="auto" w:fill="5A2480"/>
            <w:vAlign w:val="center"/>
          </w:tcPr>
          <w:p w14:paraId="391FEE08" w14:textId="77777777" w:rsidR="00FE2D51" w:rsidRPr="00F2319D" w:rsidRDefault="00FE2D51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Priority Status</w:t>
            </w:r>
          </w:p>
        </w:tc>
      </w:tr>
      <w:tr w:rsidR="00FE2D51" w:rsidRPr="00F2319D" w14:paraId="6E865E91" w14:textId="77777777" w:rsidTr="00FE2D51">
        <w:trPr>
          <w:trHeight w:val="432"/>
        </w:trPr>
        <w:tc>
          <w:tcPr>
            <w:tcW w:w="4680" w:type="dxa"/>
            <w:vAlign w:val="center"/>
          </w:tcPr>
          <w:p w14:paraId="7FF6D78B" w14:textId="77777777" w:rsidR="00FE2D51" w:rsidRPr="00F2319D" w:rsidRDefault="00FE2D51" w:rsidP="007F6252">
            <w:r w:rsidRPr="00F2319D">
              <w:t>Organizational Readiness</w:t>
            </w:r>
          </w:p>
        </w:tc>
        <w:tc>
          <w:tcPr>
            <w:tcW w:w="2340" w:type="dxa"/>
          </w:tcPr>
          <w:p w14:paraId="3BB7ED73" w14:textId="77777777" w:rsidR="00FE2D51" w:rsidRPr="00F2319D" w:rsidRDefault="00FE2D51" w:rsidP="007F6252">
            <w:r w:rsidRPr="00F2319D">
              <w:t>13</w:t>
            </w:r>
          </w:p>
        </w:tc>
        <w:tc>
          <w:tcPr>
            <w:tcW w:w="2340" w:type="dxa"/>
          </w:tcPr>
          <w:p w14:paraId="1A1D3BA8" w14:textId="77777777" w:rsidR="00FE2D51" w:rsidRPr="00F2319D" w:rsidRDefault="00FE2D51" w:rsidP="007F6252">
            <w:r w:rsidRPr="00F2319D">
              <w:t>High Priority</w:t>
            </w:r>
          </w:p>
        </w:tc>
      </w:tr>
      <w:tr w:rsidR="00FE2D51" w:rsidRPr="00F2319D" w14:paraId="69C808E3" w14:textId="77777777" w:rsidTr="00FE2D51">
        <w:trPr>
          <w:trHeight w:val="432"/>
        </w:trPr>
        <w:tc>
          <w:tcPr>
            <w:tcW w:w="4680" w:type="dxa"/>
            <w:vAlign w:val="center"/>
          </w:tcPr>
          <w:p w14:paraId="33E6C5E8" w14:textId="77777777" w:rsidR="00FE2D51" w:rsidRPr="00F2319D" w:rsidRDefault="00FE2D51" w:rsidP="007F6252">
            <w:r w:rsidRPr="00F2319D">
              <w:t>Leadership Readiness</w:t>
            </w:r>
          </w:p>
        </w:tc>
        <w:tc>
          <w:tcPr>
            <w:tcW w:w="2340" w:type="dxa"/>
          </w:tcPr>
          <w:p w14:paraId="3743180B" w14:textId="77777777" w:rsidR="00FE2D51" w:rsidRPr="00F2319D" w:rsidRDefault="00FE2D51" w:rsidP="007F6252">
            <w:r w:rsidRPr="00F2319D">
              <w:t>19</w:t>
            </w:r>
          </w:p>
        </w:tc>
        <w:tc>
          <w:tcPr>
            <w:tcW w:w="2340" w:type="dxa"/>
          </w:tcPr>
          <w:p w14:paraId="23FE31C5" w14:textId="77777777" w:rsidR="00FE2D51" w:rsidRPr="00F2319D" w:rsidRDefault="00FE2D51" w:rsidP="007F6252">
            <w:r w:rsidRPr="00F2319D">
              <w:t>Low Priority</w:t>
            </w:r>
          </w:p>
        </w:tc>
      </w:tr>
      <w:tr w:rsidR="00FE2D51" w:rsidRPr="00F2319D" w14:paraId="41CFA2B3" w14:textId="77777777" w:rsidTr="00FE2D51">
        <w:trPr>
          <w:trHeight w:val="432"/>
        </w:trPr>
        <w:tc>
          <w:tcPr>
            <w:tcW w:w="4680" w:type="dxa"/>
            <w:vAlign w:val="center"/>
          </w:tcPr>
          <w:p w14:paraId="3A09E0C1" w14:textId="77777777" w:rsidR="00FE2D51" w:rsidRPr="00F2319D" w:rsidRDefault="00FE2D51" w:rsidP="007F6252">
            <w:r w:rsidRPr="00F2319D">
              <w:t>Employee Readiness</w:t>
            </w:r>
          </w:p>
        </w:tc>
        <w:tc>
          <w:tcPr>
            <w:tcW w:w="2340" w:type="dxa"/>
          </w:tcPr>
          <w:p w14:paraId="2800225C" w14:textId="77777777" w:rsidR="00FE2D51" w:rsidRPr="00F2319D" w:rsidRDefault="00FE2D51" w:rsidP="007F6252">
            <w:r w:rsidRPr="00F2319D">
              <w:t>[Enter total score]</w:t>
            </w:r>
          </w:p>
        </w:tc>
        <w:tc>
          <w:tcPr>
            <w:tcW w:w="2340" w:type="dxa"/>
          </w:tcPr>
          <w:p w14:paraId="2832D986" w14:textId="77777777" w:rsidR="00FE2D51" w:rsidRPr="00F2319D" w:rsidRDefault="00FE2D51" w:rsidP="007F6252">
            <w:r w:rsidRPr="00F2319D">
              <w:t>[Enter priority status]</w:t>
            </w:r>
          </w:p>
        </w:tc>
      </w:tr>
      <w:tr w:rsidR="00FE2D51" w:rsidRPr="00F2319D" w14:paraId="468CF5A9" w14:textId="77777777" w:rsidTr="00FE2D51">
        <w:trPr>
          <w:trHeight w:val="432"/>
        </w:trPr>
        <w:tc>
          <w:tcPr>
            <w:tcW w:w="4680" w:type="dxa"/>
            <w:vAlign w:val="center"/>
          </w:tcPr>
          <w:p w14:paraId="55A18FA2" w14:textId="77777777" w:rsidR="00FE2D51" w:rsidRPr="00F2319D" w:rsidRDefault="00FE2D51" w:rsidP="007F6252">
            <w:r w:rsidRPr="00F2319D">
              <w:t>Supporting Infrastructure Readiness</w:t>
            </w:r>
          </w:p>
        </w:tc>
        <w:tc>
          <w:tcPr>
            <w:tcW w:w="2340" w:type="dxa"/>
          </w:tcPr>
          <w:p w14:paraId="32101531" w14:textId="77777777" w:rsidR="00FE2D51" w:rsidRPr="00F2319D" w:rsidRDefault="00FE2D51" w:rsidP="007F6252">
            <w:r w:rsidRPr="00F2319D">
              <w:t>[Enter total score]</w:t>
            </w:r>
          </w:p>
        </w:tc>
        <w:tc>
          <w:tcPr>
            <w:tcW w:w="2340" w:type="dxa"/>
          </w:tcPr>
          <w:p w14:paraId="2E09BC63" w14:textId="77777777" w:rsidR="00FE2D51" w:rsidRPr="00F2319D" w:rsidRDefault="00FE2D51" w:rsidP="007F6252">
            <w:r w:rsidRPr="00F2319D">
              <w:t>[Enter priority status]</w:t>
            </w:r>
          </w:p>
        </w:tc>
      </w:tr>
      <w:tr w:rsidR="00FE2D51" w:rsidRPr="00F2319D" w14:paraId="03F8C7A0" w14:textId="77777777" w:rsidTr="00FE2D51">
        <w:trPr>
          <w:trHeight w:val="432"/>
        </w:trPr>
        <w:tc>
          <w:tcPr>
            <w:tcW w:w="4680" w:type="dxa"/>
            <w:vAlign w:val="center"/>
          </w:tcPr>
          <w:p w14:paraId="28B92A1D" w14:textId="77777777" w:rsidR="00FE2D51" w:rsidRPr="00F2319D" w:rsidRDefault="00FE2D51" w:rsidP="007F6252">
            <w:r w:rsidRPr="00F2319D">
              <w:t>Overall Readiness</w:t>
            </w:r>
          </w:p>
        </w:tc>
        <w:tc>
          <w:tcPr>
            <w:tcW w:w="2340" w:type="dxa"/>
          </w:tcPr>
          <w:p w14:paraId="62916C94" w14:textId="77777777" w:rsidR="00FE2D51" w:rsidRPr="00F2319D" w:rsidRDefault="00FE2D51" w:rsidP="007F6252">
            <w:r w:rsidRPr="00F2319D">
              <w:t>[Enter total score]</w:t>
            </w:r>
          </w:p>
        </w:tc>
        <w:tc>
          <w:tcPr>
            <w:tcW w:w="2340" w:type="dxa"/>
          </w:tcPr>
          <w:p w14:paraId="7FFF65FE" w14:textId="77777777" w:rsidR="00FE2D51" w:rsidRPr="00F2319D" w:rsidRDefault="00FE2D51" w:rsidP="007F6252">
            <w:r w:rsidRPr="00F2319D">
              <w:t>[Enter priority status]</w:t>
            </w:r>
          </w:p>
        </w:tc>
      </w:tr>
    </w:tbl>
    <w:p w14:paraId="18B65631" w14:textId="7E3577CA" w:rsidR="00B2386B" w:rsidRPr="00F2319D" w:rsidRDefault="00B2386B" w:rsidP="00FB4C4D">
      <w:pPr>
        <w:pStyle w:val="Heading1"/>
      </w:pPr>
      <w:r w:rsidRPr="00F2319D">
        <w:t>Priority Activities</w:t>
      </w:r>
    </w:p>
    <w:p w14:paraId="2FCB1182" w14:textId="29925292" w:rsidR="00AD139D" w:rsidRDefault="00B2386B" w:rsidP="00E0314A">
      <w:r w:rsidRPr="00F2319D">
        <w:t xml:space="preserve">[This </w:t>
      </w:r>
      <w:r w:rsidR="007B6FAB" w:rsidRPr="00F2319D">
        <w:t xml:space="preserve">section should be completed </w:t>
      </w:r>
      <w:r w:rsidR="001162DE" w:rsidRPr="00F2319D">
        <w:t>as the project moves into the Initiating Process Phase.</w:t>
      </w:r>
      <w:r w:rsidR="00D45057" w:rsidRPr="00F2319D">
        <w:t xml:space="preserve"> </w:t>
      </w:r>
      <w:r w:rsidR="007B6FAB" w:rsidRPr="00F2319D">
        <w:t>In the Activi</w:t>
      </w:r>
      <w:r w:rsidR="001162DE" w:rsidRPr="00F2319D">
        <w:t>ty Table below, list activities and</w:t>
      </w:r>
      <w:r w:rsidR="007B6FAB" w:rsidRPr="00F2319D">
        <w:t xml:space="preserve"> corresponding priority areas</w:t>
      </w:r>
      <w:r w:rsidR="001162DE" w:rsidRPr="00F2319D">
        <w:t>. There may be multiple activities identified for each priority area</w:t>
      </w:r>
      <w:r w:rsidR="00FE2D51">
        <w:t>.</w:t>
      </w:r>
      <w:r w:rsidR="001162DE" w:rsidRPr="00F2319D">
        <w:t>]</w:t>
      </w:r>
    </w:p>
    <w:tbl>
      <w:tblPr>
        <w:tblStyle w:val="TableGrid"/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Priority Activities"/>
      </w:tblPr>
      <w:tblGrid>
        <w:gridCol w:w="4225"/>
        <w:gridCol w:w="5130"/>
      </w:tblGrid>
      <w:tr w:rsidR="007B6FAB" w:rsidRPr="00F2319D" w14:paraId="53D1F4EE" w14:textId="77777777" w:rsidTr="00FE2D51">
        <w:trPr>
          <w:trHeight w:val="395"/>
          <w:tblHeader/>
        </w:trPr>
        <w:tc>
          <w:tcPr>
            <w:tcW w:w="4225" w:type="dxa"/>
            <w:shd w:val="clear" w:color="auto" w:fill="5A2480"/>
            <w:vAlign w:val="center"/>
          </w:tcPr>
          <w:p w14:paraId="72BC79EA" w14:textId="7E277143" w:rsidR="007B6FAB" w:rsidRPr="00F2319D" w:rsidRDefault="007B6FAB" w:rsidP="00FE2D51">
            <w:pPr>
              <w:rPr>
                <w:b/>
                <w:color w:val="FFFFFF" w:themeColor="background1"/>
              </w:rPr>
            </w:pPr>
            <w:bookmarkStart w:id="0" w:name="_GoBack" w:colFirst="0" w:colLast="2"/>
            <w:r w:rsidRPr="00F2319D">
              <w:rPr>
                <w:b/>
                <w:color w:val="FFFFFF" w:themeColor="background1"/>
              </w:rPr>
              <w:t>Priority Area</w:t>
            </w:r>
          </w:p>
        </w:tc>
        <w:tc>
          <w:tcPr>
            <w:tcW w:w="5130" w:type="dxa"/>
            <w:shd w:val="clear" w:color="auto" w:fill="5A2480"/>
            <w:vAlign w:val="center"/>
          </w:tcPr>
          <w:p w14:paraId="439DFE0B" w14:textId="20694CFD" w:rsidR="007B6FAB" w:rsidRPr="00F2319D" w:rsidRDefault="007B6FAB" w:rsidP="00FE2D51">
            <w:pPr>
              <w:rPr>
                <w:b/>
                <w:color w:val="FFFFFF" w:themeColor="background1"/>
              </w:rPr>
            </w:pPr>
            <w:r w:rsidRPr="00F2319D">
              <w:rPr>
                <w:b/>
                <w:color w:val="FFFFFF" w:themeColor="background1"/>
              </w:rPr>
              <w:t>Activity</w:t>
            </w:r>
          </w:p>
        </w:tc>
      </w:tr>
      <w:tr w:rsidR="007B6FAB" w:rsidRPr="00F2319D" w14:paraId="16523880" w14:textId="77777777" w:rsidTr="00FE2D51">
        <w:tc>
          <w:tcPr>
            <w:tcW w:w="4225" w:type="dxa"/>
          </w:tcPr>
          <w:p w14:paraId="38AE3856" w14:textId="06FA42A5" w:rsidR="007B6FAB" w:rsidRPr="00F2319D" w:rsidRDefault="00621C65" w:rsidP="00E0314A">
            <w:r w:rsidRPr="00F2319D">
              <w:t>Organizational</w:t>
            </w:r>
            <w:r w:rsidR="007B6FAB" w:rsidRPr="00F2319D">
              <w:t xml:space="preserve"> Readiness</w:t>
            </w:r>
          </w:p>
        </w:tc>
        <w:tc>
          <w:tcPr>
            <w:tcW w:w="5130" w:type="dxa"/>
          </w:tcPr>
          <w:p w14:paraId="6D766D7F" w14:textId="77777777" w:rsidR="007B6FAB" w:rsidRDefault="007B6FAB" w:rsidP="00FE2D51">
            <w:pPr>
              <w:pStyle w:val="ListParagraph"/>
              <w:numPr>
                <w:ilvl w:val="0"/>
                <w:numId w:val="18"/>
              </w:numPr>
            </w:pPr>
            <w:r w:rsidRPr="00F2319D">
              <w:t xml:space="preserve">Facilitated sessions with </w:t>
            </w:r>
            <w:r w:rsidR="00621C65" w:rsidRPr="00F2319D">
              <w:t>key Stakeholders</w:t>
            </w:r>
            <w:r w:rsidR="00D45057" w:rsidRPr="00F2319D">
              <w:t xml:space="preserve"> to d</w:t>
            </w:r>
            <w:r w:rsidR="00621C65" w:rsidRPr="00F2319D">
              <w:t>iscuss the business need and project priorities</w:t>
            </w:r>
            <w:r w:rsidR="00D45057" w:rsidRPr="00F2319D">
              <w:t>, d</w:t>
            </w:r>
            <w:r w:rsidR="00621C65" w:rsidRPr="00F2319D">
              <w:t>evelop a common understanding of the need for change</w:t>
            </w:r>
            <w:r w:rsidR="00D45057" w:rsidRPr="00F2319D">
              <w:t>, and g</w:t>
            </w:r>
            <w:r w:rsidR="00621C65" w:rsidRPr="00F2319D">
              <w:t>ain commitment to the project and project outcomes</w:t>
            </w:r>
          </w:p>
          <w:p w14:paraId="1EC6D28C" w14:textId="77777777" w:rsidR="00FE2D51" w:rsidRDefault="00FE2D51" w:rsidP="00FE2D51">
            <w:pPr>
              <w:pStyle w:val="ListParagraph"/>
              <w:numPr>
                <w:ilvl w:val="0"/>
                <w:numId w:val="18"/>
              </w:numPr>
            </w:pPr>
          </w:p>
          <w:p w14:paraId="0EB407F9" w14:textId="49DB73DB" w:rsidR="00FE2D51" w:rsidRPr="00F2319D" w:rsidRDefault="00FE2D51" w:rsidP="00E0314A"/>
        </w:tc>
      </w:tr>
      <w:tr w:rsidR="00621C65" w:rsidRPr="00F2319D" w14:paraId="7943CC43" w14:textId="77777777" w:rsidTr="00FE2D51">
        <w:tc>
          <w:tcPr>
            <w:tcW w:w="4225" w:type="dxa"/>
          </w:tcPr>
          <w:p w14:paraId="6B4E3986" w14:textId="02F87014" w:rsidR="00621C65" w:rsidRPr="00F2319D" w:rsidRDefault="00621C65" w:rsidP="00E0314A">
            <w:r w:rsidRPr="00F2319D">
              <w:t>Leadership Readiness</w:t>
            </w:r>
          </w:p>
        </w:tc>
        <w:tc>
          <w:tcPr>
            <w:tcW w:w="5130" w:type="dxa"/>
          </w:tcPr>
          <w:p w14:paraId="001D9E0A" w14:textId="77777777" w:rsidR="00FE2D51" w:rsidRDefault="00621C65" w:rsidP="00FE2D51">
            <w:pPr>
              <w:pStyle w:val="ListParagraph"/>
              <w:numPr>
                <w:ilvl w:val="0"/>
                <w:numId w:val="18"/>
              </w:numPr>
            </w:pPr>
            <w:r w:rsidRPr="00F2319D">
              <w:t>Facilitated sessions with executive leaders to introduce the organizational vi</w:t>
            </w:r>
            <w:r w:rsidR="003B154D">
              <w:t xml:space="preserve">sion and need for </w:t>
            </w:r>
            <w:r w:rsidRPr="00F2319D">
              <w:t>change</w:t>
            </w:r>
          </w:p>
          <w:p w14:paraId="0B44A134" w14:textId="77777777" w:rsidR="00FE2D51" w:rsidRDefault="00FE2D51" w:rsidP="00FE2D51">
            <w:pPr>
              <w:pStyle w:val="ListParagraph"/>
              <w:numPr>
                <w:ilvl w:val="0"/>
                <w:numId w:val="18"/>
              </w:numPr>
            </w:pPr>
          </w:p>
          <w:p w14:paraId="3301BE45" w14:textId="26EA286D" w:rsidR="00FE2D51" w:rsidRPr="00F2319D" w:rsidRDefault="00FE2D51" w:rsidP="00FE2D51">
            <w:pPr>
              <w:pStyle w:val="ListParagraph"/>
            </w:pPr>
          </w:p>
        </w:tc>
      </w:tr>
      <w:tr w:rsidR="00621C65" w:rsidRPr="00F2319D" w14:paraId="02A4E736" w14:textId="77777777" w:rsidTr="00FE2D51">
        <w:tc>
          <w:tcPr>
            <w:tcW w:w="4225" w:type="dxa"/>
          </w:tcPr>
          <w:p w14:paraId="6BB3FA13" w14:textId="2A3B8850" w:rsidR="00621C65" w:rsidRPr="00F2319D" w:rsidRDefault="00D45057" w:rsidP="00E0314A">
            <w:r w:rsidRPr="00F2319D">
              <w:t>Employee Readiness</w:t>
            </w:r>
          </w:p>
        </w:tc>
        <w:tc>
          <w:tcPr>
            <w:tcW w:w="5130" w:type="dxa"/>
          </w:tcPr>
          <w:p w14:paraId="1DC49C8D" w14:textId="77777777" w:rsidR="00621C65" w:rsidRDefault="00D45057" w:rsidP="00FE2D51">
            <w:pPr>
              <w:pStyle w:val="ListParagraph"/>
              <w:numPr>
                <w:ilvl w:val="0"/>
                <w:numId w:val="18"/>
              </w:numPr>
            </w:pPr>
            <w:r w:rsidRPr="00F2319D">
              <w:t>All-staff meeting where key executives build excitement for the change</w:t>
            </w:r>
          </w:p>
          <w:p w14:paraId="790062E3" w14:textId="77777777" w:rsidR="00FE2D51" w:rsidRDefault="00FE2D51" w:rsidP="00FE2D51">
            <w:pPr>
              <w:pStyle w:val="ListParagraph"/>
              <w:numPr>
                <w:ilvl w:val="0"/>
                <w:numId w:val="18"/>
              </w:numPr>
            </w:pPr>
          </w:p>
          <w:p w14:paraId="728DAE66" w14:textId="32C3A7C5" w:rsidR="00FE2D51" w:rsidRPr="00F2319D" w:rsidRDefault="00FE2D51" w:rsidP="00E0314A"/>
        </w:tc>
      </w:tr>
      <w:tr w:rsidR="00621C65" w14:paraId="690A1C8F" w14:textId="77777777" w:rsidTr="00FE2D51">
        <w:trPr>
          <w:trHeight w:val="70"/>
        </w:trPr>
        <w:tc>
          <w:tcPr>
            <w:tcW w:w="4225" w:type="dxa"/>
          </w:tcPr>
          <w:p w14:paraId="3143E129" w14:textId="1707FDAC" w:rsidR="00621C65" w:rsidRPr="00F2319D" w:rsidRDefault="00D45057" w:rsidP="00E0314A">
            <w:r w:rsidRPr="00F2319D">
              <w:t>Supporting Infrastructure Readiness</w:t>
            </w:r>
          </w:p>
        </w:tc>
        <w:tc>
          <w:tcPr>
            <w:tcW w:w="5130" w:type="dxa"/>
          </w:tcPr>
          <w:p w14:paraId="0388E9EA" w14:textId="77777777" w:rsidR="00FE2D51" w:rsidRDefault="00D45057" w:rsidP="00FE2D51">
            <w:pPr>
              <w:pStyle w:val="ListParagraph"/>
              <w:numPr>
                <w:ilvl w:val="0"/>
                <w:numId w:val="18"/>
              </w:numPr>
            </w:pPr>
            <w:r w:rsidRPr="00F2319D">
              <w:t>Ensure business case is clearly and visibly aligned with people, processes, and strategies as they relate to the change initiative</w:t>
            </w:r>
          </w:p>
          <w:p w14:paraId="62E90AE0" w14:textId="77777777" w:rsidR="00FE2D51" w:rsidRDefault="00FE2D51" w:rsidP="00FE2D51">
            <w:pPr>
              <w:pStyle w:val="ListParagraph"/>
              <w:numPr>
                <w:ilvl w:val="0"/>
                <w:numId w:val="18"/>
              </w:numPr>
            </w:pPr>
          </w:p>
          <w:p w14:paraId="1421A02A" w14:textId="261B61F0" w:rsidR="00FE2D51" w:rsidRPr="00F2319D" w:rsidRDefault="00FE2D51" w:rsidP="00FE2D51">
            <w:pPr>
              <w:pStyle w:val="ListParagraph"/>
            </w:pPr>
          </w:p>
        </w:tc>
      </w:tr>
      <w:bookmarkEnd w:id="0"/>
    </w:tbl>
    <w:p w14:paraId="1780BB2B" w14:textId="77777777" w:rsidR="002F6FD4" w:rsidRDefault="002F6FD4" w:rsidP="008A6EF0"/>
    <w:sectPr w:rsidR="002F6FD4" w:rsidSect="00FE2D51">
      <w:headerReference w:type="default" r:id="rId12"/>
      <w:footerReference w:type="default" r:id="rId13"/>
      <w:footerReference w:type="first" r:id="rId14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DAD0E" w14:textId="77777777" w:rsidR="00DF388B" w:rsidRDefault="00DF388B" w:rsidP="00C862E7">
      <w:pPr>
        <w:spacing w:after="0" w:line="240" w:lineRule="auto"/>
      </w:pPr>
      <w:r>
        <w:separator/>
      </w:r>
    </w:p>
  </w:endnote>
  <w:endnote w:type="continuationSeparator" w:id="0">
    <w:p w14:paraId="25D93B2A" w14:textId="77777777" w:rsidR="00DF388B" w:rsidRDefault="00DF388B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BB34" w14:textId="4AED9F23" w:rsidR="008A6EF0" w:rsidRPr="00572498" w:rsidRDefault="00C11938" w:rsidP="00751660">
    <w:pPr>
      <w:pStyle w:val="CDTbodycopy"/>
      <w:jc w:val="right"/>
    </w:pPr>
    <w:r w:rsidRPr="00F2319D">
      <w:rPr>
        <w:rFonts w:asciiTheme="minorHAnsi" w:hAnsiTheme="minorHAnsi"/>
        <w:b/>
      </w:rPr>
      <w:t>Change Magnitude Assessment</w:t>
    </w:r>
    <w:r w:rsidR="00572498" w:rsidRPr="00F2319D">
      <w:rPr>
        <w:rFonts w:asciiTheme="minorHAnsi" w:hAnsiTheme="minorHAnsi"/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DF388B">
          <w:rPr>
            <w:noProof/>
          </w:rPr>
          <w:t>1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BB36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D5A6" w14:textId="77777777" w:rsidR="00DF388B" w:rsidRDefault="00DF388B" w:rsidP="00C862E7">
      <w:pPr>
        <w:spacing w:after="0" w:line="240" w:lineRule="auto"/>
      </w:pPr>
      <w:r>
        <w:separator/>
      </w:r>
    </w:p>
  </w:footnote>
  <w:footnote w:type="continuationSeparator" w:id="0">
    <w:p w14:paraId="3A3CADC7" w14:textId="77777777" w:rsidR="00DF388B" w:rsidRDefault="00DF388B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BB31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80BB37" wp14:editId="735F4C61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C6CAA" id="Rectangle 1" o:spid="_x0000_s1026" alt="Decorative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1780BB32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84C"/>
    <w:multiLevelType w:val="hybridMultilevel"/>
    <w:tmpl w:val="D63C6B9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5DE4"/>
    <w:multiLevelType w:val="hybridMultilevel"/>
    <w:tmpl w:val="65BC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533"/>
    <w:multiLevelType w:val="hybridMultilevel"/>
    <w:tmpl w:val="A27052E6"/>
    <w:lvl w:ilvl="0" w:tplc="AFC6C516">
      <w:start w:val="1"/>
      <w:numFmt w:val="decimal"/>
      <w:pStyle w:val="CDT1xx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9347C"/>
    <w:multiLevelType w:val="hybridMultilevel"/>
    <w:tmpl w:val="72F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4D4"/>
    <w:multiLevelType w:val="hybridMultilevel"/>
    <w:tmpl w:val="5F0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B7C"/>
    <w:multiLevelType w:val="hybridMultilevel"/>
    <w:tmpl w:val="BF2C75B0"/>
    <w:lvl w:ilvl="0" w:tplc="5262146E">
      <w:start w:val="1"/>
      <w:numFmt w:val="bullet"/>
      <w:pStyle w:val="CDTbullets2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CB2"/>
    <w:multiLevelType w:val="hybridMultilevel"/>
    <w:tmpl w:val="1C4E4D3E"/>
    <w:lvl w:ilvl="0" w:tplc="C28273B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B13DF"/>
    <w:multiLevelType w:val="hybridMultilevel"/>
    <w:tmpl w:val="F53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C28FB"/>
    <w:multiLevelType w:val="hybridMultilevel"/>
    <w:tmpl w:val="D9F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E3E7A"/>
    <w:multiLevelType w:val="multilevel"/>
    <w:tmpl w:val="081ECAE6"/>
    <w:lvl w:ilvl="0">
      <w:start w:val="1"/>
      <w:numFmt w:val="decimal"/>
      <w:pStyle w:val="Heading1"/>
      <w:lvlText w:val="%1   "/>
      <w:lvlJc w:val="left"/>
      <w:pPr>
        <w:ind w:left="360" w:hanging="360"/>
      </w:pPr>
      <w:rPr>
        <w:rFonts w:ascii="Calibri" w:hAnsi="Calibri" w:hint="default"/>
        <w:b/>
        <w:i w:val="0"/>
        <w:color w:val="501978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8F1E56"/>
    <w:multiLevelType w:val="hybridMultilevel"/>
    <w:tmpl w:val="1F6C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7972"/>
    <w:multiLevelType w:val="hybridMultilevel"/>
    <w:tmpl w:val="C0C0FC2C"/>
    <w:lvl w:ilvl="0" w:tplc="CB368F06">
      <w:start w:val="1"/>
      <w:numFmt w:val="bullet"/>
      <w:pStyle w:val="CDT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7CF8"/>
    <w:multiLevelType w:val="hybridMultilevel"/>
    <w:tmpl w:val="0406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12"/>
  </w:num>
  <w:num w:numId="15">
    <w:abstractNumId w:val="6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95663"/>
    <w:rsid w:val="00096BEF"/>
    <w:rsid w:val="000D1A6E"/>
    <w:rsid w:val="000F628D"/>
    <w:rsid w:val="001162DE"/>
    <w:rsid w:val="001410E6"/>
    <w:rsid w:val="0015593D"/>
    <w:rsid w:val="00156C8B"/>
    <w:rsid w:val="001A2CFF"/>
    <w:rsid w:val="001C4004"/>
    <w:rsid w:val="001E23F7"/>
    <w:rsid w:val="001E6CEB"/>
    <w:rsid w:val="001E6DD0"/>
    <w:rsid w:val="0022151B"/>
    <w:rsid w:val="00281FD9"/>
    <w:rsid w:val="002F6FD4"/>
    <w:rsid w:val="002F74ED"/>
    <w:rsid w:val="003B154D"/>
    <w:rsid w:val="003C6050"/>
    <w:rsid w:val="003F148A"/>
    <w:rsid w:val="00427404"/>
    <w:rsid w:val="004A6084"/>
    <w:rsid w:val="004C38F7"/>
    <w:rsid w:val="00522535"/>
    <w:rsid w:val="00531E96"/>
    <w:rsid w:val="00537DF8"/>
    <w:rsid w:val="00572498"/>
    <w:rsid w:val="005835E3"/>
    <w:rsid w:val="005C498E"/>
    <w:rsid w:val="005D194C"/>
    <w:rsid w:val="005E6AB0"/>
    <w:rsid w:val="00621C65"/>
    <w:rsid w:val="00633DA8"/>
    <w:rsid w:val="00634C80"/>
    <w:rsid w:val="0064011E"/>
    <w:rsid w:val="00751660"/>
    <w:rsid w:val="007B6FAB"/>
    <w:rsid w:val="008321C5"/>
    <w:rsid w:val="00833AEB"/>
    <w:rsid w:val="00861C12"/>
    <w:rsid w:val="0088213D"/>
    <w:rsid w:val="008A0DD3"/>
    <w:rsid w:val="008A6EF0"/>
    <w:rsid w:val="008B6635"/>
    <w:rsid w:val="008E203F"/>
    <w:rsid w:val="00943C7D"/>
    <w:rsid w:val="009674D2"/>
    <w:rsid w:val="009A2C97"/>
    <w:rsid w:val="009A68FD"/>
    <w:rsid w:val="009E52BE"/>
    <w:rsid w:val="00A54EB8"/>
    <w:rsid w:val="00A81CD3"/>
    <w:rsid w:val="00A90624"/>
    <w:rsid w:val="00AD139D"/>
    <w:rsid w:val="00AF5183"/>
    <w:rsid w:val="00B06336"/>
    <w:rsid w:val="00B2386B"/>
    <w:rsid w:val="00B24B0F"/>
    <w:rsid w:val="00B57BE7"/>
    <w:rsid w:val="00B747DB"/>
    <w:rsid w:val="00BA5FD6"/>
    <w:rsid w:val="00BB59FC"/>
    <w:rsid w:val="00BC22E9"/>
    <w:rsid w:val="00C11938"/>
    <w:rsid w:val="00C14DBB"/>
    <w:rsid w:val="00C31420"/>
    <w:rsid w:val="00C53C2C"/>
    <w:rsid w:val="00C577DA"/>
    <w:rsid w:val="00C862E7"/>
    <w:rsid w:val="00CC330D"/>
    <w:rsid w:val="00CD62A6"/>
    <w:rsid w:val="00CF1EA4"/>
    <w:rsid w:val="00CF515E"/>
    <w:rsid w:val="00D45057"/>
    <w:rsid w:val="00D86BB6"/>
    <w:rsid w:val="00DD20A4"/>
    <w:rsid w:val="00DE512F"/>
    <w:rsid w:val="00DF388B"/>
    <w:rsid w:val="00E0259C"/>
    <w:rsid w:val="00E0314A"/>
    <w:rsid w:val="00EA61CC"/>
    <w:rsid w:val="00EE1CCF"/>
    <w:rsid w:val="00F1354D"/>
    <w:rsid w:val="00F16581"/>
    <w:rsid w:val="00F2319D"/>
    <w:rsid w:val="00F61366"/>
    <w:rsid w:val="00F75CC9"/>
    <w:rsid w:val="00F831CE"/>
    <w:rsid w:val="00FB4C4D"/>
    <w:rsid w:val="00FC75B9"/>
    <w:rsid w:val="00FE2D51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B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C4D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5019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336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C4D"/>
    <w:rPr>
      <w:rFonts w:ascii="Calibri" w:eastAsiaTheme="majorEastAsia" w:hAnsi="Calibri" w:cstheme="majorBidi"/>
      <w:b/>
      <w:color w:val="50197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33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B06336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B06336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2F6FD4"/>
    <w:pPr>
      <w:tabs>
        <w:tab w:val="left" w:pos="0"/>
      </w:tabs>
      <w:spacing w:after="120" w:line="240" w:lineRule="auto"/>
    </w:pPr>
    <w:rPr>
      <w:rFonts w:eastAsia="Calibri" w:cs="Times New Roman"/>
      <w:spacing w:val="4"/>
    </w:rPr>
  </w:style>
  <w:style w:type="paragraph" w:customStyle="1" w:styleId="BodyTextItalicsExample">
    <w:name w:val="Body Text Italics (Example)"/>
    <w:basedOn w:val="Normal"/>
    <w:autoRedefine/>
    <w:qFormat/>
    <w:rsid w:val="002F6FD4"/>
    <w:pPr>
      <w:keepNext/>
      <w:keepLines/>
      <w:spacing w:after="120" w:line="264" w:lineRule="auto"/>
      <w:outlineLvl w:val="3"/>
    </w:pPr>
    <w:rPr>
      <w:rFonts w:ascii="Calibri" w:eastAsia="Times New Roman" w:hAnsi="Calibri" w:cs="Times New Roman"/>
      <w:i/>
      <w:spacing w:val="4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DB"/>
    <w:rPr>
      <w:rFonts w:ascii="Segoe UI" w:hAnsi="Segoe UI" w:cs="Segoe UI"/>
      <w:sz w:val="18"/>
      <w:szCs w:val="18"/>
    </w:rPr>
  </w:style>
  <w:style w:type="paragraph" w:customStyle="1" w:styleId="CDTbodycopy">
    <w:name w:val="CDT body copy"/>
    <w:basedOn w:val="Normal"/>
    <w:qFormat/>
    <w:rsid w:val="00FC75B9"/>
    <w:pPr>
      <w:spacing w:after="180" w:line="260" w:lineRule="exact"/>
      <w:jc w:val="both"/>
    </w:pPr>
    <w:rPr>
      <w:rFonts w:ascii="Source Sans Pro" w:eastAsia="Calibri" w:hAnsi="Source Sans Pro" w:cs="Times New Roman"/>
      <w:spacing w:val="-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8E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bullets">
    <w:name w:val="CDT bullets"/>
    <w:basedOn w:val="CDTbodycopy"/>
    <w:link w:val="CDTbulletsChar"/>
    <w:qFormat/>
    <w:rsid w:val="00FC75B9"/>
    <w:pPr>
      <w:numPr>
        <w:numId w:val="14"/>
      </w:numPr>
    </w:pPr>
    <w:rPr>
      <w:spacing w:val="0"/>
      <w:szCs w:val="23"/>
    </w:rPr>
  </w:style>
  <w:style w:type="character" w:customStyle="1" w:styleId="CDTbulletsChar">
    <w:name w:val="CDT bullets Char"/>
    <w:link w:val="CDTbullets"/>
    <w:locked/>
    <w:rsid w:val="00FC75B9"/>
    <w:rPr>
      <w:rFonts w:ascii="Source Sans Pro" w:eastAsia="Calibri" w:hAnsi="Source Sans Pro" w:cs="Times New Roman"/>
      <w:szCs w:val="23"/>
    </w:rPr>
  </w:style>
  <w:style w:type="paragraph" w:customStyle="1" w:styleId="CDT1xx">
    <w:name w:val="CDT 1. xx"/>
    <w:basedOn w:val="CDTbodycopy"/>
    <w:qFormat/>
    <w:rsid w:val="00FC75B9"/>
    <w:pPr>
      <w:numPr>
        <w:numId w:val="13"/>
      </w:numPr>
    </w:pPr>
  </w:style>
  <w:style w:type="paragraph" w:customStyle="1" w:styleId="CDTbullets2">
    <w:name w:val="CDT bullets 2"/>
    <w:basedOn w:val="Normal"/>
    <w:rsid w:val="00FC75B9"/>
    <w:pPr>
      <w:numPr>
        <w:numId w:val="15"/>
      </w:numPr>
      <w:spacing w:after="180" w:line="260" w:lineRule="exact"/>
    </w:pPr>
    <w:rPr>
      <w:rFonts w:ascii="Source Sans Pro" w:eastAsia="Calibri" w:hAnsi="Source Sans Pro" w:cs="Times New Roman"/>
    </w:rPr>
  </w:style>
  <w:style w:type="paragraph" w:customStyle="1" w:styleId="CDTHead1">
    <w:name w:val="CDT Head 1"/>
    <w:basedOn w:val="Normal"/>
    <w:qFormat/>
    <w:rsid w:val="00FC75B9"/>
    <w:pPr>
      <w:spacing w:before="540" w:after="80" w:line="560" w:lineRule="exact"/>
      <w:ind w:left="864" w:hanging="864"/>
      <w:outlineLvl w:val="0"/>
    </w:pPr>
    <w:rPr>
      <w:rFonts w:ascii="Source Sans Pro" w:eastAsia="Calibri" w:hAnsi="Source Sans Pro" w:cs="Times New Roman"/>
      <w:b/>
      <w:color w:val="006096"/>
      <w:spacing w:val="-4"/>
      <w:sz w:val="52"/>
      <w:szCs w:val="21"/>
    </w:rPr>
  </w:style>
  <w:style w:type="paragraph" w:customStyle="1" w:styleId="CDTHead2">
    <w:name w:val="CDT Head 2"/>
    <w:basedOn w:val="Normal"/>
    <w:qFormat/>
    <w:rsid w:val="00FC75B9"/>
    <w:pPr>
      <w:keepNext/>
      <w:spacing w:before="240" w:after="120" w:line="240" w:lineRule="auto"/>
      <w:outlineLvl w:val="2"/>
    </w:pPr>
    <w:rPr>
      <w:rFonts w:ascii="Source Sans Pro" w:eastAsia="Times" w:hAnsi="Source Sans Pro" w:cs="Arial"/>
      <w:b/>
      <w:sz w:val="42"/>
      <w:szCs w:val="20"/>
    </w:rPr>
  </w:style>
  <w:style w:type="paragraph" w:customStyle="1" w:styleId="CDTHead3">
    <w:name w:val="CDT Head 3"/>
    <w:basedOn w:val="CDTbodycopy"/>
    <w:qFormat/>
    <w:rsid w:val="00FC75B9"/>
    <w:pPr>
      <w:spacing w:before="180" w:after="120" w:line="240" w:lineRule="auto"/>
    </w:pPr>
    <w:rPr>
      <w:b/>
      <w:color w:val="006096"/>
      <w:sz w:val="32"/>
    </w:rPr>
  </w:style>
  <w:style w:type="paragraph" w:customStyle="1" w:styleId="CDTHead4">
    <w:name w:val="CDT Head 4"/>
    <w:basedOn w:val="CDTHead3"/>
    <w:qFormat/>
    <w:rsid w:val="00FC75B9"/>
    <w:pPr>
      <w:spacing w:before="240"/>
    </w:pPr>
    <w:rPr>
      <w:sz w:val="24"/>
    </w:rPr>
  </w:style>
  <w:style w:type="paragraph" w:customStyle="1" w:styleId="CDTinthischapter">
    <w:name w:val="CDT in this chapter"/>
    <w:basedOn w:val="CDTbodycopy"/>
    <w:qFormat/>
    <w:rsid w:val="00FC75B9"/>
    <w:pPr>
      <w:spacing w:before="360" w:after="2040" w:line="240" w:lineRule="auto"/>
      <w:ind w:left="-72" w:right="-446"/>
    </w:pPr>
    <w:rPr>
      <w:b/>
      <w:color w:val="FFFFFF"/>
      <w:sz w:val="102"/>
      <w:szCs w:val="102"/>
    </w:rPr>
  </w:style>
  <w:style w:type="paragraph" w:customStyle="1" w:styleId="CDTintrobody">
    <w:name w:val="CDT intro body"/>
    <w:basedOn w:val="CDTbodycopy"/>
    <w:qFormat/>
    <w:rsid w:val="00FC75B9"/>
    <w:pPr>
      <w:spacing w:after="0" w:line="480" w:lineRule="exact"/>
    </w:pPr>
    <w:rPr>
      <w:rFonts w:ascii="Source Sans Pro Light" w:hAnsi="Source Sans Pro Light"/>
      <w:sz w:val="40"/>
    </w:rPr>
  </w:style>
  <w:style w:type="paragraph" w:customStyle="1" w:styleId="CDTSubtitle">
    <w:name w:val="CDT Subtitle"/>
    <w:basedOn w:val="Normal"/>
    <w:qFormat/>
    <w:rsid w:val="00FC75B9"/>
    <w:pPr>
      <w:spacing w:after="1200" w:line="240" w:lineRule="auto"/>
    </w:pPr>
    <w:rPr>
      <w:rFonts w:ascii="Source Sans Pro Light" w:eastAsia="Calibri" w:hAnsi="Source Sans Pro Light" w:cs="Times New Roman"/>
      <w:noProof/>
      <w:color w:val="FFFFFF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1FC7-951B-4EC9-A937-6F041F85F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AE0AD-0C88-48C8-B225-E3860F13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A2272-021F-4933-A773-A6C21BDAFD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5CA87B1-0E3C-4817-BC2F-33D96230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2021-05-10T19:04:00Z</dcterms:created>
  <dcterms:modified xsi:type="dcterms:W3CDTF">2021-05-10T19:04:00Z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